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三国将契开发总结与后续计划</w:t>
      </w:r>
    </w:p>
    <w:p>
      <w:pPr>
        <w:pStyle w:val="Subtitle"/>
      </w:pPr>
      <w:r>
        <w:t>MVP0.5.5 版本报告</w:t>
      </w:r>
    </w:p>
    <w:p>
      <w:r>
        <w:t>整理日期：2026年10月21日。应用版本0.5.5，Git版本标记v0.5.5，上一正式版本MVP0.5.3（0.5.3）。</w:t>
      </w:r>
    </w:p>
    <w:p>
      <w:r>
        <w:t>MVP0.5.5统一中文正式名称《三国将契》与英文品牌，纳入签名增量启动器、Docker独立更新服务和管理控制台。沿用MVP0.5.3的七位主公、卡牌平衡规则1、卡牌分层、音乐及云端账号。本报告区分本版打包验收、此前专项验证和后续服务器部署；不将历史结果当作本次重复测试。</w:t>
      </w:r>
    </w:p>
    <w:p>
      <w:r>
        <w:t>本版正式命名（2026-10-21）：中文《三国将契》，英文 General's Pact，宣传副标题 Three Kingdoms Card Game，繁体中文《三國將契》。登录、主菜单、启动器12语言和网站名称同步；现有发布包、仓库及存档标识保持兼容。</w:t>
      </w:r>
    </w:p>
    <w:p>
      <w:pPr>
        <w:pStyle w:val="Heading2"/>
      </w:pPr>
      <w:r>
        <w:t>自动更新与管理控制台</w:t>
      </w:r>
    </w:p>
    <w:p>
      <w:r>
        <w:t>2026-10-21新增Docker独立更新服务与系统化只读管理控制台。启动器支持签名清单、按文件增量、断点续传、暂存切换和上一版恢复；GitHub四平台成功构建自动同步测试通道，正式发布自动同步正式通道。暂无公网域名，HTTPS与原生目标设备验收仍待完成；本版四平台完整游戏包与独立启动器分别交付，暂无公网启动器。详见Docs/Auto-Update/README.md和Validation.json。</w:t>
      </w:r>
    </w:p>
    <w:p>
      <w:r>
        <w:t>自动链路已实际验收：四平台构建39525831722成功后自动触发同步39528419594并完成签名与实际下载检查。当前启动器61项、发布62项及实际关闭续传／浏览器生命周期通过。管理控制台支持下载本机Mac测试启动器；正式公网HTTPS仍待租服务器后配置。</w:t>
      </w:r>
    </w:p>
    <w:p>
      <w:pPr>
        <w:pStyle w:val="Heading2"/>
      </w:pPr>
      <w:r>
        <w:t>本版规则与检查</w:t>
      </w:r>
    </w:p>
    <w:p>
      <w:r>
        <w:t>2026-10-21卡牌平衡版本1已接入共享规则：10名武将调整，重盾兵4费2攻6生命护卫；新旧对局按开局版本重建，12语言和当前卡面同步。推荐换牌不覆盖玩家卡组；完整验证见Docs/Card-Balance/Validation.json。本版四平台包将从同一提交构建并校验，最终发布结果见Docs/Releases/MVP055.md；历史12万场不含本次重盾兵叠加。</w:t>
      </w:r>
    </w:p>
    <w:p>
      <w:r>
        <w:t>沿用0.5.3主公规则4：关羽／赵云1费，其余五位2费。赵云普通新登场单位突击1次，有攻击资格或已攻击者额外获得1次单位攻击，不解除控制。此前4,766项专项检查见Docs/Leader-Skills/Selected/AllLeadersAudit.md。</w:t>
      </w: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68"/>
        <w:gridCol w:w="7370"/>
      </w:tblGrid>
      <w:tr>
        <w:trPr>
          <w:tblHeader/>
          <w:cantSplit/>
        </w:trPr>
        <w:tc>
          <w:tcPr>
            <w:tcW w:type="dxa" w:w="226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  <w:shd w:fill="E7EEF4"/>
          </w:tcPr>
          <w:p>
            <w:pPr>
              <w:spacing w:after="0" w:before="0" w:line="260" w:lineRule="exact"/>
              <w:jc w:val="center"/>
            </w:pPr>
            <w:r>
              <w:rPr>
                <w:rFonts w:ascii="Noto Sans SC" w:hAnsi="Noto Sans SC" w:eastAsia="Noto Sans SC"/>
                <w:b/>
                <w:color w:val="000000"/>
                <w:sz w:val="19"/>
              </w:rPr>
              <w:t>本版变化</w:t>
            </w:r>
          </w:p>
        </w:tc>
        <w:tc>
          <w:tcPr>
            <w:tcW w:type="dxa" w:w="737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  <w:shd w:fill="E7EEF4"/>
          </w:tcPr>
          <w:p>
            <w:pPr>
              <w:spacing w:after="0" w:before="0" w:line="260" w:lineRule="exact"/>
              <w:jc w:val="center"/>
            </w:pPr>
            <w:r>
              <w:rPr>
                <w:rFonts w:ascii="Noto Sans SC" w:hAnsi="Noto Sans SC" w:eastAsia="Noto Sans SC"/>
                <w:b/>
                <w:color w:val="000000"/>
                <w:sz w:val="19"/>
              </w:rPr>
              <w:t>玩家可见结果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正式命名</w:t>
            </w:r>
          </w:p>
        </w:tc>
        <w:tc>
          <w:tcPr>
            <w:tcW w:type="dxa" w:w="737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三国将契／General's Pact；英文宣传副标题Three Kingdoms Card Game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更新与后台</w:t>
            </w:r>
          </w:p>
        </w:tc>
        <w:tc>
          <w:tcPr>
            <w:tcW w:type="dxa" w:w="737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Docker签名增量更新、断点续传、上一版恢复和管理控制台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七位主公</w:t>
            </w:r>
          </w:p>
        </w:tc>
        <w:tc>
          <w:tcPr>
            <w:tcW w:type="dxa" w:w="737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沿用0.5.3规则：关羽和赵云1费，其余主公2费，每个己方回合一次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卡牌平衡</w:t>
            </w:r>
          </w:p>
        </w:tc>
        <w:tc>
          <w:tcPr>
            <w:tcW w:type="dxa" w:w="737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10名武将调整；重盾兵4费2攻6生命护卫，卡面数值与说明共用有效定义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语言与检查</w:t>
            </w:r>
          </w:p>
        </w:tc>
        <w:tc>
          <w:tcPr>
            <w:tcW w:type="dxa" w:w="737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1807条资源同步12语言；历史规则13110项、界面264组验证见0.5.3记录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后续维护</w:t>
            </w:r>
          </w:p>
        </w:tc>
        <w:tc>
          <w:tcPr>
            <w:tcW w:type="dxa" w:w="737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每次文案修改同步全部语言，发布时核对应用、文档、Word与下载主页版本</w:t>
            </w:r>
          </w:p>
        </w:tc>
      </w:tr>
    </w:tbl>
    <w:p>
      <w:pPr>
        <w:spacing w:after="0"/>
      </w:pPr>
    </w:p>
    <w:p>
      <w:r>
        <w:t>此前语言复核与隔离界面的详细结果保存于Docs/Localization和Docs/Releases/MVP053.md。结构检查、模型语义审校、界面验证和真实平台试玩各有边界；不将这些工作称为全部语言已获专业母语认证。</w:t>
      </w:r>
    </w:p>
    <w:p>
      <w:r>
        <w:t>1.0之前历史记录按测试数据处理，后续可清理，不再作为旧记录兼容的发布门槛。本次不主动清空账号、收藏、卡组或数据库。</w:t>
      </w:r>
    </w:p>
    <w:p>
      <w:pPr>
        <w:pStyle w:val="Heading1"/>
        <w:pageBreakBefore/>
      </w:pPr>
      <w:r>
        <w:t>十二语言与维护</w:t>
      </w:r>
    </w:p>
    <w:p>
      <w:r>
        <w:t>支持简体中文、繁体中文、英文、韩文、日文、西班牙文、法文、德文、葡萄牙文、意大利文、俄文和印尼文。首次使用系统语言，手动选择后独立保存在本机；不支持的系统语言回退英语。</w:t>
      </w:r>
    </w:p>
    <w:p>
      <w:r>
        <w:t>语言切换只作用于显示，不改变卡牌ID、原始卡库摘要、战斗规则、账号资料和历史原文。玩家输入、密码与自定义名字不翻译。卡牌介绍可搜索中文原名、当前译名或已有英文名。</w:t>
      </w:r>
    </w:p>
    <w:p>
      <w:r>
        <w:t>翻译与日文、韩文字体随安装包提供，运行时不调用外部翻译。下拉列表支持滚动，固定长说明按翻译后的高度滚动。</w:t>
      </w:r>
    </w:p>
    <w:p>
      <w:pPr>
        <w:pStyle w:val="Heading2"/>
      </w:pPr>
      <w:r>
        <w:t>后续内容更新</w:t>
      </w:r>
    </w:p>
    <w:p>
      <w:r>
        <w:t>固定文案新增、修改或删除时，必须同一提交更新全部12语言。先提取完整源句和占位符，再核对术语与规则，执行资源检查，并在隔离工程检查相关页面。名字表维护120名武将的标准名称；不能用空值、中文回填或复制英语代替翻译。</w:t>
      </w:r>
    </w:p>
    <w:p>
      <w:pPr>
        <w:pStyle w:val="Heading2"/>
      </w:pPr>
      <w:r>
        <w:t>审核范围</w:t>
      </w:r>
    </w:p>
    <w:p>
      <w:r>
        <w:t>先前机器初稿中存在人物普通名词化、冲锋误译、回合与整局混淆以及单位与玩家主语混淆。本次逐项记录修正并复核实际显示。专业母语润色与各目标设备长文案阅读体验仍需后续真人反馈，不能仅凭无中文残留认定语义正确。</w:t>
      </w:r>
    </w:p>
    <w:p>
      <w:pPr>
        <w:pStyle w:val="Heading1"/>
        <w:pageBreakBefore/>
      </w:pPr>
      <w:r>
        <w:t>当前游戏玩法</w:t>
      </w:r>
    </w:p>
    <w:p>
      <w:r>
        <w:t>运行卡库包含178张可组牌卡：120名武将、20部队、18战法、8武器、6伏策和6阵法。另有主公模板、衍生单位及34条羁绊。卡组30张，最多5名武将和1张阵法；战场每方最多9单位、手牌最多10张。</w:t>
      </w: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98"/>
        <w:gridCol w:w="7540"/>
      </w:tblGrid>
      <w:tr>
        <w:trPr>
          <w:tblHeader/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  <w:shd w:fill="E7EEF4"/>
          </w:tcPr>
          <w:p>
            <w:pPr>
              <w:spacing w:after="0" w:before="0" w:line="260" w:lineRule="exact"/>
              <w:jc w:val="center"/>
            </w:pPr>
            <w:r>
              <w:rPr>
                <w:rFonts w:ascii="Noto Sans SC" w:hAnsi="Noto Sans SC" w:eastAsia="Noto Sans SC"/>
                <w:b/>
                <w:color w:val="000000"/>
                <w:sz w:val="19"/>
              </w:rPr>
              <w:t>模块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  <w:shd w:fill="E7EEF4"/>
          </w:tcPr>
          <w:p>
            <w:pPr>
              <w:spacing w:after="0" w:before="0" w:line="260" w:lineRule="exact"/>
              <w:jc w:val="center"/>
            </w:pPr>
            <w:r>
              <w:rPr>
                <w:rFonts w:ascii="Noto Sans SC" w:hAnsi="Noto Sans SC" w:eastAsia="Noto Sans SC"/>
                <w:b/>
                <w:color w:val="000000"/>
                <w:sz w:val="19"/>
              </w:rPr>
              <w:t>当前能力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主公与组牌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自建主公名称和头像；七种差异技能（关羽1费+3攻击，赵云1费突击／额外单位攻击，其余2费）；卡组编辑、合法性校验与云端保存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闯关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六章120关，每20关一张动态战场；首次通关、武将使用资格与金框成长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AI对战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独立强化策略与主题卡组；与闯关共用核心战斗规则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真人对战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好友房间、随机匹配、服务器权威操作、换牌限时、重连与认输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计时与测试天梯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75秒回合、挂机短回合与弃赛限制；独立测试Elo和排名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收藏与历史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185张正式及衍生卡牌介绍；最近5场含战斗耗时与步骤回看</w:t>
            </w:r>
          </w:p>
        </w:tc>
      </w:tr>
    </w:tbl>
    <w:p>
      <w:pPr>
        <w:spacing w:after="0"/>
      </w:pPr>
    </w:p>
    <w:p>
      <w:pPr>
        <w:pStyle w:val="Heading2"/>
      </w:pPr>
      <w:r>
        <w:t>账号与数据</w:t>
      </w:r>
    </w:p>
    <w:p>
      <w:r>
        <w:t>注册、登录、主公、卡组、收藏和对战历史使用现有ASP.NET Core API及PostgreSQL。单账号单设备会话继续保留；本版不改变账号迁移、奖励发放或卡库摘要规则。声音设置属于设备偏好，单独保存，不写入账号进度。</w:t>
      </w:r>
    </w:p>
    <w:p>
      <w:pPr>
        <w:pStyle w:val="Heading2"/>
      </w:pPr>
      <w:r>
        <w:t>保留的限制</w:t>
      </w:r>
    </w:p>
    <w:p>
      <w:r>
        <w:t>PvE异常关闭前尚未提交的对局暂不能恢复；真人正在进行的对局已有重新登录继续入口。正式赛季、赛季票、反刷分、购买与皮肤装备仍未完成。新手交互引导和外部玩家难度反馈仍需继续补齐。</w:t>
      </w:r>
    </w:p>
    <w:p>
      <w:pPr>
        <w:pStyle w:val="Heading1"/>
        <w:pageBreakBefore/>
      </w:pPr>
      <w:r>
        <w:t>音乐与卡牌表现</w:t>
      </w: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24"/>
        <w:gridCol w:w="7313"/>
      </w:tblGrid>
      <w:tr>
        <w:trPr>
          <w:tblHeader/>
          <w:cantSplit/>
        </w:trPr>
        <w:tc>
          <w:tcPr>
            <w:tcW w:type="dxa" w:w="2324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  <w:shd w:fill="E7EEF4"/>
          </w:tcPr>
          <w:p>
            <w:pPr>
              <w:spacing w:after="0" w:before="0" w:line="260" w:lineRule="exact"/>
              <w:jc w:val="center"/>
            </w:pPr>
            <w:r>
              <w:rPr>
                <w:rFonts w:ascii="Noto Sans SC" w:hAnsi="Noto Sans SC" w:eastAsia="Noto Sans SC"/>
                <w:b/>
                <w:color w:val="000000"/>
                <w:sz w:val="19"/>
              </w:rPr>
              <w:t>场景</w:t>
            </w:r>
          </w:p>
        </w:tc>
        <w:tc>
          <w:tcPr>
            <w:tcW w:type="dxa" w:w="7313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  <w:shd w:fill="E7EEF4"/>
          </w:tcPr>
          <w:p>
            <w:pPr>
              <w:spacing w:after="0" w:before="0" w:line="260" w:lineRule="exact"/>
              <w:jc w:val="center"/>
            </w:pPr>
            <w:r>
              <w:rPr>
                <w:rFonts w:ascii="Noto Sans SC" w:hAnsi="Noto Sans SC" w:eastAsia="Noto Sans SC"/>
                <w:b/>
                <w:color w:val="000000"/>
                <w:sz w:val="19"/>
              </w:rPr>
              <w:t>播放行为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登录与主菜单</w:t>
            </w:r>
          </w:p>
        </w:tc>
        <w:tc>
          <w:tcPr>
            <w:tcW w:type="dxa" w:w="7313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主菜单音乐，首次进入从零音量平滑淡入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组牌 卡牌介绍 珍宝阁</w:t>
            </w:r>
          </w:p>
        </w:tc>
        <w:tc>
          <w:tcPr>
            <w:tcW w:type="dxa" w:w="7313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共用收藏曲，翻页和切分类不重播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掷骰 换牌 战场</w:t>
            </w:r>
          </w:p>
        </w:tc>
        <w:tc>
          <w:tcPr>
            <w:tcW w:type="dxa" w:w="7313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按当前六图选择音乐，从开局页面持续到战场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胜负结算</w:t>
            </w:r>
          </w:p>
        </w:tc>
        <w:tc>
          <w:tcPr>
            <w:tcW w:type="dxa" w:w="7313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暂停战场，只播放对应结算曲；查看战场时从暂停位置淡入续播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循环与设置</w:t>
            </w:r>
          </w:p>
        </w:tc>
        <w:tc>
          <w:tcPr>
            <w:tcW w:type="dxa" w:w="7313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首尾交叉衔接；总音量、背景音乐、音效分别控制并保存在本机</w:t>
            </w:r>
          </w:p>
        </w:tc>
      </w:tr>
    </w:tbl>
    <w:p>
      <w:pPr>
        <w:spacing w:after="0"/>
      </w:pPr>
    </w:p>
    <w:p>
      <w:r>
        <w:t>10首共享WAV原文件保留，游戏使用处理后的播放副本。Unity以Streaming方式加载，每次切换或恢复采用3.5秒淡入。现有张飞登场与回合提醒接入音效通道，其他攻击、法术等完整音效仍待制作。循环音乐的主观听感和商用授权记录仍需确认归档。</w:t>
      </w:r>
    </w:p>
    <w:p>
      <w:pPr>
        <w:pStyle w:val="Heading2"/>
      </w:pPr>
      <w:r>
        <w:t>卡牌分层</w:t>
      </w:r>
    </w:p>
    <w:p>
      <w:r>
        <w:t>选关列表与说明页现在也使用同一分层，召唤物增加5个运行编号别名；原有188条映射和187张独立插画保持。编辑卡组内所有可见卡牌都使用已有主体和背景分层。鼠标移动时产生视差与光泽，移出回正，不自动摆动。卡框、姓名、数值及加牌移除操作保持原样；缺少素材时保留静态回退。</w:t>
      </w:r>
    </w:p>
    <w:p>
      <w:pPr>
        <w:pStyle w:val="Heading2"/>
      </w:pPr>
      <w:r>
        <w:t>历史对战耗时</w:t>
      </w:r>
    </w:p>
    <w:p>
      <w:r>
        <w:t>从整军完成开始计时，到胜负或离场确定时停止；结算停留和保存重试不增加时间。AI／闯关耗时仅作展示，后台按对局总时间约束；真人双方使用同一服务器计时。旧记录显示耗时未记录，无需迁移数据库。</w:t>
      </w:r>
    </w:p>
    <w:p>
      <w:pPr>
        <w:pStyle w:val="Heading2"/>
      </w:pPr>
      <w:r>
        <w:t>专属登场的范围</w:t>
      </w:r>
    </w:p>
    <w:p>
      <w:r>
        <w:t>张飞使用3张透明图集、44个采样帧，保持卡内背景，人物破框、停留后加速回收。诸葛亮复用完整静态人物图，配合八卦阵、星光和风线；没有独立关节或挥扇视频。双方登场与取消恢复已做隔离验证。其余人物保留已有通用主题登场，尚未全部制作独立动作。</w:t>
      </w:r>
    </w:p>
    <w:p>
      <w:r>
        <w:t>张飞原素材的水印、边缘与动作模糊仍待正式素材精修；Windows及其他目标平台表现仍需实机检查。</w:t>
      </w:r>
    </w:p>
    <w:p>
      <w:pPr>
        <w:pStyle w:val="Heading1"/>
        <w:pageBreakBefore/>
      </w:pPr>
      <w:r>
        <w:t>验证记录与性能边界</w:t>
      </w:r>
    </w:p>
    <w:p>
      <w:r>
        <w:t>MVP0.5.3曾完成13110项共享规则断言及100局模拟、服务器与界面专项检查，详情见Docs/Card-Balance/Validation.json及Docs/Releases/MVP053.md。本次0.5.5的回归、四包与下载结果见Docs/Releases/MVP055.md；下表保留此前历史验证，不冒称本次重跑。</w:t>
      </w: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68"/>
        <w:gridCol w:w="7370"/>
      </w:tblGrid>
      <w:tr>
        <w:trPr>
          <w:tblHeader/>
          <w:cantSplit/>
        </w:trPr>
        <w:tc>
          <w:tcPr>
            <w:tcW w:type="dxa" w:w="226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  <w:shd w:fill="E7EEF4"/>
          </w:tcPr>
          <w:p>
            <w:pPr>
              <w:spacing w:after="0" w:before="0" w:line="260" w:lineRule="exact"/>
              <w:jc w:val="center"/>
            </w:pPr>
            <w:r>
              <w:rPr>
                <w:rFonts w:ascii="Noto Sans SC" w:hAnsi="Noto Sans SC" w:eastAsia="Noto Sans SC"/>
                <w:b/>
                <w:color w:val="000000"/>
                <w:sz w:val="19"/>
              </w:rPr>
              <w:t>检查</w:t>
            </w:r>
          </w:p>
        </w:tc>
        <w:tc>
          <w:tcPr>
            <w:tcW w:type="dxa" w:w="737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  <w:shd w:fill="E7EEF4"/>
          </w:tcPr>
          <w:p>
            <w:pPr>
              <w:spacing w:after="0" w:before="0" w:line="260" w:lineRule="exact"/>
              <w:jc w:val="center"/>
            </w:pPr>
            <w:r>
              <w:rPr>
                <w:rFonts w:ascii="Noto Sans SC" w:hAnsi="Noto Sans SC" w:eastAsia="Noto Sans SC"/>
                <w:b/>
                <w:color w:val="000000"/>
                <w:sz w:val="19"/>
              </w:rPr>
              <w:t>结果与范围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选关分层</w:t>
            </w:r>
          </w:p>
        </w:tc>
        <w:tc>
          <w:tcPr>
            <w:tcW w:type="dxa" w:w="737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625项Mac隔离检查，覆盖12页120武将</w:t>
              <w:br/>
              <w:t>含金银框、卡背、章节分页和说明返回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召唤分层</w:t>
            </w:r>
          </w:p>
        </w:tc>
        <w:tc>
          <w:tcPr>
            <w:tcW w:type="dxa" w:w="737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79项Mac隔离检查，含真实援军出牌及双方卡面</w:t>
              <w:br/>
              <w:t>含复制、指针与素材UV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历史耗时</w:t>
            </w:r>
          </w:p>
        </w:tc>
        <w:tc>
          <w:tcPr>
            <w:tcW w:type="dxa" w:w="737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9项Unity及8项后台检查，含旧JSON、归档与保存重试</w:t>
              <w:br/>
              <w:t>真人双方记录时间一致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共享规则</w:t>
            </w:r>
          </w:p>
        </w:tc>
        <w:tc>
          <w:tcPr>
            <w:tcW w:type="dxa" w:w="737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12,820项断言、120武将登场和100局模拟通过</w:t>
              <w:br/>
              <w:t>本机隔离.NET10；CI使用.NET8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真人回归</w:t>
            </w:r>
          </w:p>
        </w:tc>
        <w:tc>
          <w:tcPr>
            <w:tcW w:type="dxa" w:w="737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时钟8,615项及30局；真人规则4,600项及30局通过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发布与编译</w:t>
            </w:r>
          </w:p>
        </w:tc>
        <w:tc>
          <w:tcPr>
            <w:tcW w:type="dxa" w:w="737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29项发布安全测试；隔离后台完整编译及本机API部署通过</w:t>
            </w:r>
          </w:p>
        </w:tc>
      </w:tr>
    </w:tbl>
    <w:p>
      <w:pPr>
        <w:spacing w:after="0"/>
      </w:pPr>
    </w:p>
    <w:p>
      <w:r>
        <w:t>Unity检查在独立Preview工程进行，实际核对1920×1080及1024×768截图。未登录或修改玩家账号。用户另提供Windows颜色和历史耗时实机确认；目标平台长局声音与性能仍需试玩，构建成功不等于这些项目均已验收。</w:t>
      </w:r>
    </w:p>
    <w:p>
      <w:pPr>
        <w:pStyle w:val="Heading2"/>
      </w:pPr>
      <w:r>
        <w:t>点击性能</w:t>
      </w:r>
    </w:p>
    <w:p>
      <w:r>
        <w:t>原实现选牌、选单位或取消选择都会重建全场。局部刷新后，隔离场景点击及Canvas更新中位耗时由14.467毫秒降到3.048毫秒；首次冷素材构建仍约1.25秒。测试未复现每次1至2秒停顿，用户随后在重启试玩后反馈正常。以上不是导出包整帧或所有设备的性能保证。</w:t>
      </w:r>
    </w:p>
    <w:p>
      <w:pPr>
        <w:pStyle w:val="Heading2"/>
      </w:pPr>
      <w:r>
        <w:t>已知编辑器问题</w:t>
      </w:r>
    </w:p>
    <w:p>
      <w:r>
        <w:t>隔离启动仍可能出现此前存在的UnityEditor.Search索引异常；与游戏运行错误分别记录。动作停滞恢复专项会故意触发一次超时警告，验证输入能够解除。最终报告不能只凭日志里存在警告就判断本轮失败，也不能忽略新的游戏运行异常。</w:t>
      </w:r>
    </w:p>
    <w:p>
      <w:pPr>
        <w:pStyle w:val="Heading1"/>
        <w:pageBreakBefore/>
      </w:pPr>
      <w:r>
        <w:t>发布与运行方式</w:t>
      </w: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98"/>
        <w:gridCol w:w="7540"/>
      </w:tblGrid>
      <w:tr>
        <w:trPr>
          <w:tblHeader/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  <w:shd w:fill="E7EEF4"/>
          </w:tcPr>
          <w:p>
            <w:pPr>
              <w:spacing w:after="0" w:before="0" w:line="260" w:lineRule="exact"/>
              <w:jc w:val="center"/>
            </w:pPr>
            <w:r>
              <w:rPr>
                <w:rFonts w:ascii="Noto Sans SC" w:hAnsi="Noto Sans SC" w:eastAsia="Noto Sans SC"/>
                <w:b/>
                <w:color w:val="000000"/>
                <w:sz w:val="19"/>
              </w:rPr>
              <w:t>项目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  <w:shd w:fill="E7EEF4"/>
          </w:tcPr>
          <w:p>
            <w:pPr>
              <w:spacing w:after="0" w:before="0" w:line="260" w:lineRule="exact"/>
              <w:jc w:val="center"/>
            </w:pPr>
            <w:r>
              <w:rPr>
                <w:rFonts w:ascii="Noto Sans SC" w:hAnsi="Noto Sans SC" w:eastAsia="Noto Sans SC"/>
                <w:b/>
                <w:color w:val="000000"/>
                <w:sz w:val="19"/>
              </w:rPr>
              <w:t>本版要求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工程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Unity 6000.6.3f1，Main与BattleScene两个正式场景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后台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当前默认127.0.0.1:18080；先启动本机API和数据库，再注册登录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桌面包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M系列Mac、Intel Mac、Windows32和Windows64，由同一提交构建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下载校验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平台ZIP、独立平台清单、BuildManifest与SHA256SUMS共同校验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版本资料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源码、在线开发总结和经过渲染检查的Word报告随v0.5.5归档</w:t>
            </w:r>
          </w:p>
        </w:tc>
      </w:tr>
    </w:tbl>
    <w:p>
      <w:pPr>
        <w:spacing w:after="0"/>
      </w:pPr>
    </w:p>
    <w:p>
      <w:r>
        <w:t>推送触发自动构建，四包完整成功并核对来源、大小及SHA-256之后才发布下载。源码提交、编译成功和目标设备试玩是不同阶段；下载包可用状态以GitHub版本页及构建记录为准。</w:t>
      </w:r>
    </w:p>
    <w:p>
      <w:r>
        <w:t>统一从http://localhost:18080/下载当前版本；正式发布须先校验四包，再同步主页并验证实际下载。本机主页汇总文档和已有下载；运维指南说明容器、数据库、备份和恢复。VMware连接采用可选本机接口及Windows端口转发，保持默认仅本机服务。私有密码、会话、数据库卷及备份不进入源码和发布附件。</w:t>
      </w:r>
    </w:p>
    <w:p>
      <w:pPr>
        <w:pStyle w:val="Heading2"/>
      </w:pPr>
      <w:r>
        <w:t>启动与更新</w:t>
      </w:r>
    </w:p>
    <w:p>
      <w:pPr>
        <w:pStyle w:val="ListBullet"/>
      </w:pPr>
      <w:r>
        <w:t>使用Unity Hub打开工程；运行Backend/manage.py start启动本机后台。</w:t>
      </w:r>
    </w:p>
    <w:p>
      <w:pPr>
        <w:pStyle w:val="ListBullet"/>
      </w:pPr>
      <w:r>
        <w:t>打开Main场景运行，登录已有账号或注册新账号；旧账号资料继续由云端读取。</w:t>
      </w:r>
    </w:p>
    <w:p>
      <w:pPr>
        <w:pStyle w:val="ListBullet"/>
      </w:pPr>
      <w:r>
        <w:t>旧下载包不会随源码自动更新；安装本版对应平台ZIP时保留完整配套目录。</w:t>
      </w:r>
    </w:p>
    <w:p>
      <w:pPr>
        <w:pStyle w:val="ListBullet"/>
      </w:pPr>
      <w:r>
        <w:t>跨设备联网需配置所有设备可访问的HTTPS后台；本版本机地址不满足公网运行。</w:t>
      </w:r>
    </w:p>
    <w:p>
      <w:pPr>
        <w:pStyle w:val="Heading1"/>
        <w:pageBreakBefore/>
      </w:pPr>
      <w:r>
        <w:t>下一阶段工作</w:t>
      </w: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98"/>
        <w:gridCol w:w="7540"/>
      </w:tblGrid>
      <w:tr>
        <w:trPr>
          <w:tblHeader/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  <w:shd w:fill="E7EEF4"/>
          </w:tcPr>
          <w:p>
            <w:pPr>
              <w:spacing w:after="0" w:before="0" w:line="260" w:lineRule="exact"/>
              <w:jc w:val="center"/>
            </w:pPr>
            <w:r>
              <w:rPr>
                <w:rFonts w:ascii="Noto Sans SC" w:hAnsi="Noto Sans SC" w:eastAsia="Noto Sans SC"/>
                <w:b/>
                <w:color w:val="000000"/>
                <w:sz w:val="19"/>
              </w:rPr>
              <w:t>优先级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  <w:shd w:fill="E7EEF4"/>
          </w:tcPr>
          <w:p>
            <w:pPr>
              <w:spacing w:after="0" w:before="0" w:line="260" w:lineRule="exact"/>
              <w:jc w:val="center"/>
            </w:pPr>
            <w:r>
              <w:rPr>
                <w:rFonts w:ascii="Noto Sans SC" w:hAnsi="Noto Sans SC" w:eastAsia="Noto Sans SC"/>
                <w:b/>
                <w:color w:val="000000"/>
                <w:sz w:val="19"/>
              </w:rPr>
              <w:t>工作及验收目标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上线基础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正式HTTPS后台、自动备份、恢复演练和故障监控；公网延迟与并发验证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设备验收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四桌面目标真实安装、账号与对战、画面、声音和长局性能；Mac签名公证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初次体验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最低限度交互引导；外部玩家从注册、闯关到组牌和真人对战完整试玩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内容制作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其余传奇专属登场、无水印正式素材，以及攻击、法术等音效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商业功能</w:t>
            </w:r>
          </w:p>
        </w:tc>
        <w:tc>
          <w:tcPr>
            <w:tcW w:type="dxa" w:w="7540"/>
            <w:vAlign w:val="center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before="0" w:line="260" w:lineRule="exact"/>
            </w:pPr>
            <w:r>
              <w:rPr>
                <w:rFonts w:ascii="Noto Sans SC" w:hAnsi="Noto Sans SC" w:eastAsia="Noto Sans SC"/>
                <w:b w:val="0"/>
                <w:color w:val="000000"/>
                <w:sz w:val="19"/>
              </w:rPr>
              <w:t>服务器钱包流水、订单与支付核验；皮肤装备和正式赛季按最终范围实现</w:t>
            </w:r>
          </w:p>
        </w:tc>
      </w:tr>
    </w:tbl>
    <w:p>
      <w:pPr>
        <w:spacing w:after="0"/>
      </w:pPr>
    </w:p>
    <w:p>
      <w:r>
        <w:t>剩余复杂技能迁移到JSON、更多地图和完整动画回放属于后续维护或扩展，不应混同为所有玩法尚不可用。调整规则或卡库时仍须验证旧记录的确定性与版本兼容。</w:t>
      </w:r>
    </w:p>
    <w:p>
      <w:pPr>
        <w:pStyle w:val="Heading2"/>
      </w:pPr>
      <w:r>
        <w:t>资料入口</w:t>
      </w:r>
    </w:p>
    <w:p>
      <w:pPr>
        <w:pStyle w:val="ListBullet"/>
      </w:pPr>
      <w:r>
        <w:t>Docs/Audio：10首音乐、三级声音设置及54项检查记录。</w:t>
      </w:r>
    </w:p>
    <w:p>
      <w:pPr>
        <w:pStyle w:val="ListBullet"/>
      </w:pPr>
      <w:r>
        <w:t>Docs/Holo-Preview：选关625项、召唤物79项及既有组牌分层记录。</w:t>
      </w:r>
    </w:p>
    <w:p>
      <w:pPr>
        <w:pStyle w:val="ListBullet"/>
      </w:pPr>
      <w:r>
        <w:t>Docs/History-and-Encyclopedia：战斗耗时、旧记录兼容和实际截图。</w:t>
      </w:r>
    </w:p>
    <w:p>
      <w:pPr>
        <w:pStyle w:val="ListBullet"/>
      </w:pPr>
      <w:r>
        <w:t>Docs/General-Entry：张飞与诸葛亮实现、双方播放及取消验证。</w:t>
      </w:r>
    </w:p>
    <w:p>
      <w:pPr>
        <w:pStyle w:val="ListBullet"/>
      </w:pPr>
      <w:r>
        <w:t>Docs/Performance：点击优化前后数据、交互回归与用户复测边界。</w:t>
      </w:r>
    </w:p>
    <w:p>
      <w:pPr>
        <w:pStyle w:val="ListBullet"/>
      </w:pPr>
      <w:r>
        <w:t>Docs/Build-and-Release：构建与来源校验；Docs/TODO：当前未完成事项。</w:t>
      </w:r>
    </w:p>
    <w:p>
      <w:pPr>
        <w:pStyle w:val="ListBullet"/>
      </w:pPr>
      <w:r>
        <w:t>Backend/README与Docs/Operations：后台启动、本机主页、VMware与运维说明。</w:t>
      </w:r>
    </w:p>
    <w:p>
      <w:r>
        <w:t>开发完成时同步说明和验收；发布前更新同源Word与在线总结并逐页检查。历史版本及其附件保持原状，当前版本以v0.5.5对应提交和发布记录为准。</w:t>
      </w:r>
    </w:p>
    <w:sectPr w:rsidR="00FC693F" w:rsidRPr="0006063C" w:rsidSect="00034616">
      <w:footerReference w:type="default" r:id="rId9"/>
      <w:pgSz w:w="11906" w:h="16838"/>
      <w:pgMar w:top="1077" w:right="1134" w:bottom="1020" w:left="1134" w:header="720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SC" w:hAnsi="Noto Sans SC"/>
        <w:color w:val="000000"/>
        <w:sz w:val="16"/>
      </w:rPr>
      <w:t xml:space="preserve">三国将契 MVP0.5.5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napToGrid w:val="0"/>
      <w:spacing w:after="80" w:line="300" w:lineRule="exact"/>
    </w:pPr>
    <w:rPr>
      <w:rFonts w:ascii="Noto Sans SC" w:hAnsi="Noto Sans SC" w:eastAsia="Noto Sans SC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60" w:after="80" w:line="420" w:lineRule="exact"/>
      <w:outlineLvl w:val="0"/>
      <w:snapToGrid w:val="0"/>
    </w:pPr>
    <w:rPr>
      <w:rFonts w:ascii="Noto Sans SC" w:hAnsi="Noto Sans SC" w:eastAsia="Noto Sans SC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60" w:after="80" w:line="350" w:lineRule="exact"/>
      <w:outlineLvl w:val="1"/>
      <w:snapToGrid w:val="0"/>
    </w:pPr>
    <w:rPr>
      <w:rFonts w:ascii="Noto Sans SC" w:hAnsi="Noto Sans SC" w:eastAsia="Noto Sans SC"/>
      <w:b/>
      <w:bCs/>
      <w:i w:val="0"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60" w:after="80" w:line="330" w:lineRule="exact"/>
      <w:outlineLvl w:val="2"/>
      <w:snapToGrid w:val="0"/>
    </w:pPr>
    <w:rPr>
      <w:rFonts w:ascii="Noto Sans SC" w:hAnsi="Noto Sans SC" w:eastAsia="Noto Sans SC"/>
      <w:b/>
      <w:bCs/>
      <w:i w:val="0"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40" w:line="660" w:lineRule="exact"/>
      <w:contextualSpacing/>
      <w:snapToGrid w:val="0"/>
    </w:pPr>
    <w:rPr>
      <w:rFonts w:ascii="Noto Sans SC" w:hAnsi="Noto Sans SC" w:eastAsia="Noto Sans SC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snapToGrid w:val="0"/>
      <w:spacing w:after="80" w:line="320" w:lineRule="exact"/>
    </w:pPr>
    <w:rPr>
      <w:rFonts w:ascii="Noto Sans SC" w:hAnsi="Noto Sans SC" w:eastAsia="Noto Sans SC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spacing w:after="80" w:line="300" w:lineRule="exact"/>
      <w:ind w:left="227" w:hanging="85"/>
      <w:contextualSpacing/>
      <w:snapToGrid w:val="0"/>
    </w:pPr>
    <w:rPr>
      <w:rFonts w:ascii="Noto Sans SC" w:hAnsi="Noto Sans SC" w:eastAsia="Noto Sans SC"/>
      <w:i w:val="0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spacing w:after="80" w:line="300" w:lineRule="exact"/>
      <w:ind w:left="227" w:hanging="85"/>
      <w:contextualSpacing/>
      <w:snapToGrid w:val="0"/>
    </w:pPr>
    <w:rPr>
      <w:rFonts w:ascii="Noto Sans SC" w:hAnsi="Noto Sans SC" w:eastAsia="Noto Sans SC"/>
      <w:i w:val="0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widowControl/>
      <w:spacing w:line="300" w:lineRule="exact" w:after="80"/>
      <w:snapToGrid w:val="0"/>
    </w:pPr>
    <w:rPr>
      <w:rFonts w:ascii="Noto Sans SC" w:hAnsi="Noto Sans SC" w:eastAsia="Noto Sans SC"/>
      <w:b w:val="0"/>
      <w:bCs/>
      <w:i w:val="0"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三国将契 MVP0.5.5 开发总结与后续计划</dc:title>
  <dc:subject>2026年10月21日版本功能 验收范围 与后续计划</dc:subject>
  <dc:creator>三国将契项目组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